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40" w:rsidRDefault="00216140" w:rsidP="00216140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16140" w:rsidRDefault="00216140" w:rsidP="00216140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2025年3月31日世界知识产权组织国际局通报的</w:t>
      </w:r>
    </w:p>
    <w:p w:rsidR="00216140" w:rsidRDefault="00216140" w:rsidP="00216140">
      <w:pPr>
        <w:spacing w:line="6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15件政府间国际组织徽记、名称、名称缩写等徽记</w:t>
      </w:r>
    </w:p>
    <w:p w:rsidR="00216140" w:rsidRDefault="00216140" w:rsidP="00216140">
      <w:pPr>
        <w:spacing w:line="3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3"/>
        <w:gridCol w:w="1665"/>
        <w:gridCol w:w="3705"/>
        <w:gridCol w:w="2565"/>
        <w:gridCol w:w="1290"/>
        <w:gridCol w:w="3992"/>
      </w:tblGrid>
      <w:tr w:rsidR="00216140" w:rsidTr="001A6827">
        <w:trPr>
          <w:cantSplit/>
          <w:trHeight w:val="500"/>
          <w:tblHeader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/>
              </w:rPr>
              <w:t>国际局编号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/>
              </w:rPr>
              <w:t>组织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/>
              </w:rPr>
              <w:t>地址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/>
              </w:rPr>
              <w:t>类别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lang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lang/>
              </w:rPr>
              <w:t>标志</w:t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QO2517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color w:val="000000"/>
                <w:sz w:val="24"/>
              </w:rPr>
            </w:pPr>
            <w:proofErr w:type="spellStart"/>
            <w:r>
              <w:rPr>
                <w:rFonts w:eastAsia="仿宋_GB2312"/>
                <w:sz w:val="24"/>
              </w:rPr>
              <w:t>Organization</w:t>
            </w:r>
            <w:r>
              <w:rPr>
                <w:rStyle w:val="b-view-panelfield-value"/>
                <w:rFonts w:eastAsia="仿宋_GB2312"/>
                <w:sz w:val="24"/>
              </w:rPr>
              <w:t>Translation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Centre for the Bodies of the European Union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color w:val="000000"/>
                <w:sz w:val="24"/>
              </w:rPr>
            </w:pPr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Centre de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traduction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 des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organes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l'Union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Européenne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Centro de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traducción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 de los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órganos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</w:rPr>
              <w:t xml:space="preserve"> de la Unión </w:t>
            </w:r>
            <w:proofErr w:type="spellStart"/>
            <w:r>
              <w:rPr>
                <w:rStyle w:val="b-view-panelfield-value"/>
                <w:rFonts w:eastAsia="仿宋_GB2312"/>
                <w:color w:val="000000"/>
                <w:sz w:val="24"/>
              </w:rPr>
              <w:t>Europea</w:t>
            </w:r>
            <w:proofErr w:type="spellEnd"/>
            <w:r>
              <w:rPr>
                <w:rStyle w:val="b-view-panelfield-value"/>
                <w:rFonts w:eastAsia="仿宋_GB2312"/>
                <w:color w:val="000000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西班牙语</w:t>
            </w:r>
            <w:r>
              <w:rPr>
                <w:rStyle w:val="b-view-panelfield-value"/>
                <w:rFonts w:eastAsia="仿宋_GB2312"/>
                <w:color w:val="00000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European Commission CDMA 05/181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Brussels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1049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Belgium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徽记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noProof/>
                <w:color w:val="303030"/>
                <w:sz w:val="24"/>
              </w:rPr>
              <w:drawing>
                <wp:inline distT="0" distB="0" distL="0" distR="0">
                  <wp:extent cx="1494790" cy="1526540"/>
                  <wp:effectExtent l="19050" t="0" r="0" b="0"/>
                  <wp:docPr id="1" name="图片 79" descr="qo2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9" descr="qo2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5265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QO2518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Translation Centre for the Bodies of the European Union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Centre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organes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l'Union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Européenne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Centro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traducción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los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órganos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la Unión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Europea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西班牙语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European Commission CDMA 05/181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Brussels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1049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Belgium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Fonts w:eastAsia="仿宋_GB2312"/>
                <w:color w:val="303030"/>
                <w:sz w:val="24"/>
              </w:rPr>
            </w:pPr>
            <w:proofErr w:type="spellStart"/>
            <w:r>
              <w:rPr>
                <w:rFonts w:eastAsia="仿宋_GB2312"/>
                <w:color w:val="303030"/>
                <w:sz w:val="24"/>
              </w:rPr>
              <w:t>Център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за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преводи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за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органите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на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Европейския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съюз</w:t>
            </w:r>
            <w:proofErr w:type="spellEnd"/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QO2519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Translation Centre for the Bodies of the European Union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Centre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organes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l'Union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Européenne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Centro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traducción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los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órganos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la Unión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Europea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西班牙语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European Commission CDMA 05/181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Brussels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1049</w:t>
            </w:r>
          </w:p>
          <w:p w:rsidR="00216140" w:rsidRDefault="00216140" w:rsidP="001A6827">
            <w:pPr>
              <w:spacing w:line="28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Belgium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280" w:lineRule="exact"/>
              <w:jc w:val="center"/>
              <w:rPr>
                <w:rFonts w:eastAsia="仿宋_GB2312"/>
                <w:color w:val="303030"/>
                <w:sz w:val="24"/>
              </w:rPr>
            </w:pPr>
            <w:proofErr w:type="spellStart"/>
            <w:r>
              <w:rPr>
                <w:rFonts w:eastAsia="仿宋_GB2312"/>
                <w:color w:val="303030"/>
                <w:sz w:val="24"/>
              </w:rPr>
              <w:t>Ionad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Aistriúcháin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Chomhlachtaí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an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Aontais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Eorpaigh</w:t>
            </w:r>
            <w:proofErr w:type="spellEnd"/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QO2520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Translation Centre for the Bodies of the European Union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Centre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organes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l'Union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Européenne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Centro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traducción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los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órganos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la Unión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Europea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西班牙语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European Commission CDMA 05/181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Brussels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1049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Belgium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proofErr w:type="spellStart"/>
            <w:r>
              <w:rPr>
                <w:rFonts w:eastAsia="仿宋_GB2312"/>
                <w:color w:val="303030"/>
                <w:sz w:val="24"/>
              </w:rPr>
              <w:t>Prevoditeljski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centar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za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tijela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Europske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unije</w:t>
            </w:r>
            <w:proofErr w:type="spellEnd"/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QO2521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Translation Centre for the Bodies of the European Union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Centre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organes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l'Union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Européenne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Centro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traducción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los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órganos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la Unión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Europea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西班牙语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European Commission CDMA 05/181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Brussels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1049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Belgium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proofErr w:type="spellStart"/>
            <w:r>
              <w:rPr>
                <w:rFonts w:eastAsia="仿宋_GB2312"/>
                <w:color w:val="303030"/>
                <w:sz w:val="24"/>
              </w:rPr>
              <w:t>Centrul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de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Traduceri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pentru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Organismele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Uniunii</w:t>
            </w:r>
            <w:proofErr w:type="spellEnd"/>
            <w:r>
              <w:rPr>
                <w:rFonts w:eastAsia="仿宋_GB2312"/>
                <w:color w:val="303030"/>
                <w:sz w:val="24"/>
              </w:rPr>
              <w:t xml:space="preserve"> </w:t>
            </w:r>
            <w:proofErr w:type="spellStart"/>
            <w:r>
              <w:rPr>
                <w:rFonts w:eastAsia="仿宋_GB2312"/>
                <w:color w:val="303030"/>
                <w:sz w:val="24"/>
              </w:rPr>
              <w:t>Europene</w:t>
            </w:r>
            <w:proofErr w:type="spellEnd"/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QO2522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6, Joliot-Curie St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徽记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noProof/>
                <w:color w:val="303030"/>
                <w:sz w:val="24"/>
              </w:rPr>
              <w:drawing>
                <wp:inline distT="0" distB="0" distL="0" distR="0">
                  <wp:extent cx="1908175" cy="1271905"/>
                  <wp:effectExtent l="19050" t="0" r="0" b="0"/>
                  <wp:docPr id="2" name="图片 80" descr="qo2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0" descr="qo2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27190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QO2523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6, Joliot-Curie St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徽记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noProof/>
                <w:color w:val="303030"/>
                <w:sz w:val="24"/>
              </w:rPr>
              <w:drawing>
                <wp:inline distT="0" distB="0" distL="0" distR="0">
                  <wp:extent cx="1534795" cy="1271905"/>
                  <wp:effectExtent l="19050" t="0" r="8255" b="0"/>
                  <wp:docPr id="3" name="图片 81" descr="qo2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1" descr="qo2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127190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8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QO2524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6, Joliot-Curie St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旗帜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noProof/>
                <w:color w:val="303030"/>
                <w:sz w:val="24"/>
              </w:rPr>
              <w:drawing>
                <wp:inline distT="0" distB="0" distL="0" distR="0">
                  <wp:extent cx="2234565" cy="1526540"/>
                  <wp:effectExtent l="19050" t="0" r="0" b="0"/>
                  <wp:docPr id="4" name="图片 82" descr="qo2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2" descr="qo2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565" cy="15265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9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QO2525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6, Joliot-Curie St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QO2526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6, Joliot-Curie St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ОБЪЕДИНЕННЫЙ ИНСТИТУТ ЯДЕРНЫХ ИССЛЕДОВАНИЙ</w:t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11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QO2527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6, Joliot-Curie St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名称缩写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JINR</w:t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QO2528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Joint Institute for Nuclear Research</w:t>
            </w:r>
            <w:r>
              <w:rPr>
                <w:rFonts w:eastAsia="仿宋_GB2312"/>
                <w:color w:val="303030"/>
                <w:sz w:val="24"/>
                <w:lang/>
              </w:rPr>
              <w:t xml:space="preserve"> </w:t>
            </w:r>
            <w:r>
              <w:rPr>
                <w:rFonts w:eastAsia="仿宋_GB2312"/>
                <w:color w:val="303030"/>
                <w:sz w:val="24"/>
              </w:rPr>
              <w:t>(</w:t>
            </w:r>
            <w:r>
              <w:rPr>
                <w:rFonts w:eastAsia="仿宋_GB2312"/>
                <w:color w:val="303030"/>
                <w:sz w:val="24"/>
              </w:rPr>
              <w:t>英语</w:t>
            </w:r>
            <w:r>
              <w:rPr>
                <w:rFonts w:eastAsia="仿宋_GB2312"/>
                <w:color w:val="303030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6, Joliot-Curie St</w:t>
            </w:r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Dubna</w:t>
            </w:r>
            <w:proofErr w:type="spellEnd"/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141980</w:t>
            </w:r>
          </w:p>
          <w:p w:rsidR="00216140" w:rsidRDefault="00216140" w:rsidP="001A6827">
            <w:pPr>
              <w:spacing w:line="26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Russian Federation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名称缩写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spacing w:line="26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ОИЯИ</w:t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13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QO2529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International Civil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Defence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Organization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Organisation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internationale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protection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civile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Chemin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Surville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10-12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Petit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Lancy</w:t>
            </w:r>
            <w:proofErr w:type="spellEnd"/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1213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Switzerland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徽记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noProof/>
                <w:color w:val="303030"/>
                <w:sz w:val="24"/>
              </w:rPr>
              <w:drawing>
                <wp:inline distT="0" distB="0" distL="0" distR="0">
                  <wp:extent cx="1654175" cy="1399540"/>
                  <wp:effectExtent l="19050" t="0" r="3175" b="0"/>
                  <wp:docPr id="5" name="图片 83" descr="qo2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3" descr="qo2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139954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14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QO2530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International Civil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Defence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Organization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Organisation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internationale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protection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civile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Chemin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Surville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10-12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Petit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Lancy</w:t>
            </w:r>
            <w:proofErr w:type="spellEnd"/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1213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Switzerland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pStyle w:val="1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  <w:b w:val="0"/>
                <w:color w:val="303030"/>
                <w:spacing w:val="9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sz w:val="24"/>
                <w:szCs w:val="24"/>
              </w:rPr>
              <w:t xml:space="preserve">International Civil </w:t>
            </w:r>
            <w:proofErr w:type="spellStart"/>
            <w:r>
              <w:rPr>
                <w:rFonts w:ascii="Times New Roman" w:eastAsia="仿宋_GB2312" w:hAnsi="Times New Roman"/>
                <w:b w:val="0"/>
                <w:sz w:val="24"/>
                <w:szCs w:val="24"/>
              </w:rPr>
              <w:t>Defence</w:t>
            </w:r>
            <w:proofErr w:type="spellEnd"/>
            <w:r>
              <w:rPr>
                <w:rFonts w:ascii="Times New Roman" w:eastAsia="仿宋_GB2312" w:hAnsi="Times New Roman"/>
                <w:b w:val="0"/>
                <w:sz w:val="24"/>
                <w:szCs w:val="24"/>
              </w:rPr>
              <w:t xml:space="preserve"> Organization</w:t>
            </w:r>
          </w:p>
        </w:tc>
      </w:tr>
      <w:tr w:rsidR="00216140" w:rsidTr="001A6827">
        <w:trPr>
          <w:cantSplit/>
          <w:trHeight w:val="500"/>
          <w:jc w:val="center"/>
        </w:trPr>
        <w:tc>
          <w:tcPr>
            <w:tcW w:w="783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15</w:t>
            </w:r>
          </w:p>
        </w:tc>
        <w:tc>
          <w:tcPr>
            <w:tcW w:w="16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color w:val="303030"/>
                <w:sz w:val="24"/>
              </w:rPr>
            </w:pPr>
            <w:r>
              <w:rPr>
                <w:rFonts w:eastAsia="仿宋_GB2312"/>
                <w:color w:val="303030"/>
                <w:sz w:val="24"/>
              </w:rPr>
              <w:t>QO2531</w:t>
            </w:r>
          </w:p>
        </w:tc>
        <w:tc>
          <w:tcPr>
            <w:tcW w:w="370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International Civil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Defence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Organization</w:t>
            </w:r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英语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Organisation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internationale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protection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civile</w:t>
            </w:r>
            <w:proofErr w:type="spellEnd"/>
            <w:r>
              <w:rPr>
                <w:rStyle w:val="b-view-panelfield-value"/>
                <w:rFonts w:eastAsia="仿宋_GB2312"/>
                <w:sz w:val="24"/>
                <w:lang/>
              </w:rPr>
              <w:t xml:space="preserve"> </w:t>
            </w:r>
            <w:r>
              <w:rPr>
                <w:rStyle w:val="b-view-panelfield-value"/>
                <w:rFonts w:eastAsia="仿宋_GB2312"/>
                <w:sz w:val="24"/>
              </w:rPr>
              <w:t>(</w:t>
            </w:r>
            <w:r>
              <w:rPr>
                <w:rStyle w:val="b-view-panelfield-value"/>
                <w:rFonts w:eastAsia="仿宋_GB2312"/>
                <w:sz w:val="24"/>
              </w:rPr>
              <w:t>法语</w:t>
            </w:r>
            <w:r>
              <w:rPr>
                <w:rStyle w:val="b-view-panelfield-value"/>
                <w:rFonts w:eastAsia="仿宋_GB2312"/>
                <w:sz w:val="24"/>
              </w:rPr>
              <w:t>)</w:t>
            </w:r>
          </w:p>
        </w:tc>
        <w:tc>
          <w:tcPr>
            <w:tcW w:w="2565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Chemin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de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Surville</w:t>
            </w:r>
            <w:proofErr w:type="spellEnd"/>
            <w:r>
              <w:rPr>
                <w:rStyle w:val="b-view-panelfield-value"/>
                <w:rFonts w:eastAsia="仿宋_GB2312"/>
                <w:sz w:val="24"/>
              </w:rPr>
              <w:t xml:space="preserve"> 10-12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 xml:space="preserve">Petit </w:t>
            </w:r>
            <w:proofErr w:type="spellStart"/>
            <w:r>
              <w:rPr>
                <w:rStyle w:val="b-view-panelfield-value"/>
                <w:rFonts w:eastAsia="仿宋_GB2312"/>
                <w:sz w:val="24"/>
              </w:rPr>
              <w:t>Lancy</w:t>
            </w:r>
            <w:proofErr w:type="spellEnd"/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1213</w:t>
            </w:r>
          </w:p>
          <w:p w:rsidR="00216140" w:rsidRDefault="00216140" w:rsidP="001A6827">
            <w:pPr>
              <w:spacing w:line="300" w:lineRule="exact"/>
              <w:jc w:val="center"/>
              <w:rPr>
                <w:rStyle w:val="b-view-panelfield-value"/>
                <w:rFonts w:eastAsia="仿宋_GB2312"/>
                <w:sz w:val="24"/>
              </w:rPr>
            </w:pPr>
            <w:r>
              <w:rPr>
                <w:rStyle w:val="b-view-panelfield-value"/>
                <w:rFonts w:eastAsia="仿宋_GB2312"/>
                <w:sz w:val="24"/>
              </w:rPr>
              <w:t>Switzerland</w:t>
            </w:r>
          </w:p>
        </w:tc>
        <w:tc>
          <w:tcPr>
            <w:tcW w:w="1290" w:type="dxa"/>
            <w:vAlign w:val="center"/>
          </w:tcPr>
          <w:p w:rsidR="00216140" w:rsidRDefault="00216140" w:rsidP="001A682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名称缩写</w:t>
            </w:r>
          </w:p>
        </w:tc>
        <w:tc>
          <w:tcPr>
            <w:tcW w:w="3992" w:type="dxa"/>
            <w:vAlign w:val="center"/>
          </w:tcPr>
          <w:p w:rsidR="00216140" w:rsidRDefault="00216140" w:rsidP="001A6827">
            <w:pPr>
              <w:pStyle w:val="1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  <w:color w:val="303030"/>
                <w:spacing w:val="9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 w:val="0"/>
                <w:color w:val="303030"/>
                <w:spacing w:val="9"/>
                <w:sz w:val="24"/>
                <w:szCs w:val="24"/>
              </w:rPr>
              <w:t>ICDO</w:t>
            </w:r>
          </w:p>
        </w:tc>
      </w:tr>
    </w:tbl>
    <w:p w:rsidR="004834DE" w:rsidRDefault="00C3640A"/>
    <w:sectPr w:rsidR="004834DE" w:rsidSect="0021614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40A" w:rsidRDefault="00C3640A" w:rsidP="00216140">
      <w:r>
        <w:separator/>
      </w:r>
    </w:p>
  </w:endnote>
  <w:endnote w:type="continuationSeparator" w:id="0">
    <w:p w:rsidR="00C3640A" w:rsidRDefault="00C3640A" w:rsidP="00216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40A" w:rsidRDefault="00C3640A" w:rsidP="00216140">
      <w:r>
        <w:separator/>
      </w:r>
    </w:p>
  </w:footnote>
  <w:footnote w:type="continuationSeparator" w:id="0">
    <w:p w:rsidR="00C3640A" w:rsidRDefault="00C3640A" w:rsidP="00216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6140"/>
    <w:rsid w:val="00176C1C"/>
    <w:rsid w:val="00216140"/>
    <w:rsid w:val="003B3CA9"/>
    <w:rsid w:val="005D1426"/>
    <w:rsid w:val="00C3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16140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6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61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61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6140"/>
    <w:rPr>
      <w:sz w:val="18"/>
      <w:szCs w:val="18"/>
    </w:rPr>
  </w:style>
  <w:style w:type="character" w:customStyle="1" w:styleId="1Char">
    <w:name w:val="标题 1 Char"/>
    <w:basedOn w:val="a0"/>
    <w:link w:val="1"/>
    <w:rsid w:val="00216140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b-view-panelfield-value">
    <w:name w:val="b-view-panel__field-value"/>
    <w:qFormat/>
    <w:rsid w:val="00216140"/>
  </w:style>
  <w:style w:type="paragraph" w:styleId="a5">
    <w:name w:val="Balloon Text"/>
    <w:basedOn w:val="a"/>
    <w:link w:val="Char1"/>
    <w:uiPriority w:val="99"/>
    <w:semiHidden/>
    <w:unhideWhenUsed/>
    <w:rsid w:val="002161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61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2511</Characters>
  <Application>Microsoft Office Word</Application>
  <DocSecurity>0</DocSecurity>
  <Lines>20</Lines>
  <Paragraphs>5</Paragraphs>
  <ScaleCrop>false</ScaleCrop>
  <Company>Lenovo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2025-07-18T06:37:00Z</dcterms:created>
  <dcterms:modified xsi:type="dcterms:W3CDTF">2025-07-18T06:37:00Z</dcterms:modified>
</cp:coreProperties>
</file>